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sz w:val="22"/>
          <w:szCs w:val="22"/>
        </w:rPr>
      </w:pPr>
      <w:r w:rsidDel="00000000" w:rsidR="00000000" w:rsidRPr="00000000">
        <w:rPr>
          <w:rFonts w:ascii="Arial" w:cs="Arial" w:eastAsia="Arial" w:hAnsi="Arial"/>
          <w:i w:val="1"/>
          <w:sz w:val="22"/>
          <w:szCs w:val="22"/>
          <w:rtl w:val="0"/>
        </w:rPr>
        <w:t xml:space="preserve">Approved 2/11/25</w:t>
      </w:r>
      <w:r w:rsidDel="00000000" w:rsidR="00000000" w:rsidRPr="00000000">
        <w:rPr>
          <w:rtl w:val="0"/>
        </w:rPr>
      </w:r>
    </w:p>
    <w:p w:rsidR="00000000" w:rsidDel="00000000" w:rsidP="00000000" w:rsidRDefault="00000000" w:rsidRPr="00000000" w14:paraId="000000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January 28th, 2025</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8">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7:04 pm</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7:43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D">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Steve Whitehouse, Jason Dodge, Sandra Russell, Jo Anna Larsen, Paul Bingham (7:07pm), Cynthia Shumway (7:24pm)</w:t>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Steve Whitehouse called the meeting to order at 7:04 pm</w:t>
      </w:r>
      <w:r w:rsidDel="00000000" w:rsidR="00000000" w:rsidRPr="00000000">
        <w:rPr>
          <w:rtl w:val="0"/>
        </w:rPr>
      </w:r>
    </w:p>
    <w:p w:rsidR="00000000" w:rsidDel="00000000" w:rsidP="00000000" w:rsidRDefault="00000000" w:rsidRPr="00000000" w14:paraId="00000013">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1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6">
      <w:pPr>
        <w:numPr>
          <w:ilvl w:val="0"/>
          <w:numId w:val="1"/>
        </w:numPr>
        <w:shd w:fill="ffffff" w:val="clear"/>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Jason Dodge shared the bids that came in from Hogan, Mahas, and Willmeng.  He also shared a detailed price breakdown for specific components of the project that could be delayed at this time.</w:t>
      </w:r>
    </w:p>
    <w:p w:rsidR="00000000" w:rsidDel="00000000" w:rsidP="00000000" w:rsidRDefault="00000000" w:rsidRPr="00000000" w14:paraId="00000017">
      <w:pPr>
        <w:shd w:fill="ffffff" w:val="clear"/>
        <w:ind w:left="720" w:firstLine="72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     - Steve Whitehouse addressed the potential effects of financing the addition on the overall budget.</w:t>
      </w:r>
    </w:p>
    <w:p w:rsidR="00000000" w:rsidDel="00000000" w:rsidP="00000000" w:rsidRDefault="00000000" w:rsidRPr="00000000" w14:paraId="00000018">
      <w:pPr>
        <w:numPr>
          <w:ilvl w:val="0"/>
          <w:numId w:val="1"/>
        </w:numPr>
        <w:shd w:fill="ffffff" w:val="clear"/>
        <w:ind w:left="720" w:hanging="36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b w:val="1"/>
          <w:color w:val="222222"/>
          <w:sz w:val="22"/>
          <w:szCs w:val="22"/>
          <w:highlight w:val="white"/>
          <w:rtl w:val="0"/>
        </w:rPr>
        <w:t xml:space="preserve">MOTION:  </w:t>
      </w:r>
      <w:r w:rsidDel="00000000" w:rsidR="00000000" w:rsidRPr="00000000">
        <w:rPr>
          <w:rFonts w:ascii="Times New Roman" w:cs="Times New Roman" w:eastAsia="Times New Roman" w:hAnsi="Times New Roman"/>
          <w:color w:val="222222"/>
          <w:sz w:val="22"/>
          <w:szCs w:val="22"/>
          <w:highlight w:val="white"/>
          <w:rtl w:val="0"/>
        </w:rPr>
        <w:t xml:space="preserve">Steve Whitehouse moved to approve that we award the contract for the addition to Hogan Construction, based on their bid, with five designated components removed at this time.  The added parking is deemed necessary and will be part of the accepted bid.  Jason Dodge seconded the motion.  The motion passed unanimously.</w:t>
      </w:r>
      <w:r w:rsidDel="00000000" w:rsidR="00000000" w:rsidRPr="00000000">
        <w:rPr>
          <w:rtl w:val="0"/>
        </w:rPr>
      </w:r>
    </w:p>
    <w:p w:rsidR="00000000" w:rsidDel="00000000" w:rsidP="00000000" w:rsidRDefault="00000000" w:rsidRPr="00000000" w14:paraId="00000019">
      <w:pPr>
        <w:shd w:fill="ffffff" w:val="clear"/>
        <w:spacing w:line="276" w:lineRule="auto"/>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1A">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1B">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1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1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2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2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7" w:type="default"/>
      <w:foot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tabs>
        <w:tab w:val="center" w:leader="none" w:pos="4680"/>
        <w:tab w:val="right" w:leader="none" w:pos="9360"/>
      </w:tabs>
      <w:jc w:val="center"/>
      <w:rPr>
        <w:rFonts w:ascii="Times New Roman" w:cs="Times New Roman" w:eastAsia="Times New Roman" w:hAnsi="Times New Roman"/>
        <w:sz w:val="24"/>
        <w:szCs w:val="24"/>
      </w:rPr>
    </w:pPr>
    <w:r w:rsidDel="00000000" w:rsidR="00000000" w:rsidRPr="00000000">
      <w:rPr>
        <w:rFonts w:ascii="Garamond" w:cs="Garamond" w:eastAsia="Garamond" w:hAnsi="Garamond"/>
        <w:b w:val="1"/>
        <w:sz w:val="22"/>
        <w:szCs w:val="22"/>
        <w:rtl w:val="0"/>
      </w:rPr>
      <w:t xml:space="preserve"> </w:t>
    </w:r>
    <w:r w:rsidDel="00000000" w:rsidR="00000000" w:rsidRPr="00000000">
      <w:rPr>
        <w:rtl w:val="0"/>
      </w:rPr>
    </w:r>
  </w:p>
  <w:p w:rsidR="00000000" w:rsidDel="00000000" w:rsidP="00000000" w:rsidRDefault="00000000" w:rsidRPr="00000000" w14:paraId="00000024">
    <w:pPr>
      <w:tabs>
        <w:tab w:val="center" w:leader="none" w:pos="4680"/>
        <w:tab w:val="right" w:leader="none" w:pos="9360"/>
      </w:tabs>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5997543</wp:posOffset>
          </wp:positionH>
          <wp:positionV relativeFrom="page">
            <wp:posOffset>180975</wp:posOffset>
          </wp:positionV>
          <wp:extent cx="738188" cy="1007118"/>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962025</wp:posOffset>
          </wp:positionH>
          <wp:positionV relativeFrom="page">
            <wp:posOffset>180975</wp:posOffset>
          </wp:positionV>
          <wp:extent cx="738188" cy="1007118"/>
          <wp:effectExtent b="0" l="0" r="0" t="0"/>
          <wp:wrapNone/>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tl w:val="0"/>
      </w:rPr>
      <w:t xml:space="preserve">Karl G. Maeser Preparatory Academy</w:t>
    </w:r>
  </w:p>
  <w:p w:rsidR="00000000" w:rsidDel="00000000" w:rsidP="00000000" w:rsidRDefault="00000000" w:rsidRPr="00000000" w14:paraId="00000025">
    <w:pPr>
      <w:tabs>
        <w:tab w:val="center" w:leader="none" w:pos="4680"/>
        <w:tab w:val="right" w:leader="none" w:pos="936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tabs>
        <w:tab w:val="center" w:leader="none" w:pos="4680"/>
        <w:tab w:val="right" w:leader="none" w:pos="9360"/>
      </w:tabs>
      <w:jc w:val="center"/>
      <w:rPr>
        <w:rFonts w:ascii="Century Gothic" w:cs="Century Gothic" w:eastAsia="Century Gothic" w:hAnsi="Century Gothic"/>
        <w:i w:val="1"/>
        <w:sz w:val="20"/>
        <w:szCs w:val="20"/>
      </w:rPr>
    </w:pPr>
    <w:r w:rsidDel="00000000" w:rsidR="00000000" w:rsidRPr="00000000">
      <w:rPr>
        <w:rFonts w:ascii="Garamond" w:cs="Garamond" w:eastAsia="Garamond" w:hAnsi="Garamond"/>
        <w:b w:val="1"/>
        <w:sz w:val="22"/>
        <w:szCs w:val="22"/>
        <w:rtl w:val="0"/>
      </w:rPr>
      <w:t xml:space="preserve">TRUTH     HONOR     VIRTUE  </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entury Gothic" w:cs="Century Gothic" w:eastAsia="Century Gothic" w:hAnsi="Century Gothic"/>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P/uLgFXLg95tvGCtjhQPlhr4Vw==">CgMxLjA4AHIhMUp0WWNvdkF0U19ydkNWVjVpS1RaUFlyRmk1anJNeWc5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