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sz w:val="28"/>
          <w:szCs w:val="28"/>
          <w:rtl w:val="0"/>
        </w:rPr>
        <w:t xml:space="preserve">Advanced Placement &amp; Concurrent Enrollment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Students are often unsure whether they should take Advanced Placement (AP) or Concurrent Enrollment (CE) courses. When choosing courses, it is important to keep in mind your educational goals. Both AP and CE courses can be valuable, but you’ll want to make sure that you are making the best decision for your educational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rFonts w:ascii="Cambria" w:cs="Cambria" w:eastAsia="Cambria" w:hAnsi="Cambria"/>
            <w:color w:val="1155cc"/>
            <w:u w:val="single"/>
            <w:rtl w:val="0"/>
          </w:rPr>
          <w:t xml:space="preserve">Advanced Placement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AP courses are accelerated and advanced classes designed to prepare students to take the appropriate AP test at the end of the year. Students who enroll in AP classes receive an “AP” on their transcript, indicating they have taken the course. Additionally, students who pass their AP exams may receive college credit depending on their score and the college they’re planning on attending (for information about which colleges grant credit for AP exams, see below). While an increasing number of colleges and universities are not granting academic credit for passing the test, they still acknowledge that AP courses can benefit students in the application process. The only fees associated with an AP class are any accompanying textbook/material fees and the cost to take the exam.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AP Credit at Utah &amp; Other Select Universities:</w:t>
      </w:r>
    </w:p>
    <w:p w:rsidR="00000000" w:rsidDel="00000000" w:rsidP="00000000" w:rsidRDefault="00000000" w:rsidRPr="00000000">
      <w:pPr>
        <w:contextualSpacing w:val="0"/>
      </w:pPr>
      <w:hyperlink r:id="rId6">
        <w:r w:rsidDel="00000000" w:rsidR="00000000" w:rsidRPr="00000000">
          <w:rPr>
            <w:rFonts w:ascii="Cambria" w:cs="Cambria" w:eastAsia="Cambria" w:hAnsi="Cambria"/>
            <w:color w:val="1155cc"/>
            <w:u w:val="single"/>
            <w:rtl w:val="0"/>
          </w:rPr>
          <w:t xml:space="preserve">BYU-Provo</w:t>
        </w:r>
      </w:hyperlink>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rFonts w:ascii="Cambria" w:cs="Cambria" w:eastAsia="Cambria" w:hAnsi="Cambria"/>
            <w:color w:val="1155cc"/>
            <w:u w:val="single"/>
            <w:rtl w:val="0"/>
          </w:rPr>
          <w:t xml:space="preserve">BYU-Idaho</w:t>
        </w:r>
      </w:hyperlink>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rFonts w:ascii="Cambria" w:cs="Cambria" w:eastAsia="Cambria" w:hAnsi="Cambria"/>
            <w:color w:val="1155cc"/>
            <w:u w:val="single"/>
            <w:rtl w:val="0"/>
          </w:rPr>
          <w:t xml:space="preserve">Southern Utah University</w:t>
        </w:r>
      </w:hyperlink>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rFonts w:ascii="Cambria" w:cs="Cambria" w:eastAsia="Cambria" w:hAnsi="Cambria"/>
            <w:color w:val="1155cc"/>
            <w:u w:val="single"/>
            <w:rtl w:val="0"/>
          </w:rPr>
          <w:t xml:space="preserve">University of Utah</w:t>
        </w:r>
      </w:hyperlink>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rFonts w:ascii="Cambria" w:cs="Cambria" w:eastAsia="Cambria" w:hAnsi="Cambria"/>
            <w:color w:val="1155cc"/>
            <w:u w:val="single"/>
            <w:rtl w:val="0"/>
          </w:rPr>
          <w:t xml:space="preserve">Utah State University</w:t>
        </w:r>
      </w:hyperlink>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rFonts w:ascii="Cambria" w:cs="Cambria" w:eastAsia="Cambria" w:hAnsi="Cambria"/>
            <w:color w:val="1155cc"/>
            <w:u w:val="single"/>
            <w:rtl w:val="0"/>
          </w:rPr>
          <w:t xml:space="preserve">Utah Valley University</w:t>
        </w:r>
      </w:hyperlink>
      <w:r w:rsidDel="00000000" w:rsidR="00000000" w:rsidRPr="00000000">
        <w:rPr>
          <w:rFonts w:ascii="Cambria" w:cs="Cambria" w:eastAsia="Cambria" w:hAnsi="Cambria"/>
          <w:rtl w:val="0"/>
        </w:rPr>
        <w:br w:type="textWrapping"/>
      </w:r>
      <w:hyperlink r:id="rId12">
        <w:r w:rsidDel="00000000" w:rsidR="00000000" w:rsidRPr="00000000">
          <w:rPr>
            <w:rFonts w:ascii="Cambria" w:cs="Cambria" w:eastAsia="Cambria" w:hAnsi="Cambria"/>
            <w:color w:val="1155cc"/>
            <w:u w:val="single"/>
            <w:rtl w:val="0"/>
          </w:rPr>
          <w:t xml:space="preserve">Weber State University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rFonts w:ascii="Cambria" w:cs="Cambria" w:eastAsia="Cambria" w:hAnsi="Cambria"/>
            <w:color w:val="1155cc"/>
            <w:u w:val="single"/>
            <w:rtl w:val="0"/>
          </w:rPr>
          <w:t xml:space="preserve">Concurrent Enrollment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Maeser offers CE classes in partnership with UVU. CE classes are actual college level classes that are taught at Maeser by Maeser teachers who have been approved by UVU. There is no end-of-course exam that determines whether a student can receive credit, as in AP courses. Rather, the grade students earn in the course is the grade they will receive on their college transcript. Often, but not always, these credits will transfer to other colleges and universities. In addition to any course textbook/material fees, there is a registration fee through UVU, as well as paying for the credits (at a greatly reduced rate).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Transferring Credit from </w:t>
      </w:r>
      <w:hyperlink r:id="rId14">
        <w:r w:rsidDel="00000000" w:rsidR="00000000" w:rsidRPr="00000000">
          <w:rPr>
            <w:rFonts w:ascii="Cambria" w:cs="Cambria" w:eastAsia="Cambria" w:hAnsi="Cambria"/>
            <w:color w:val="1155cc"/>
            <w:u w:val="single"/>
            <w:rtl w:val="0"/>
          </w:rPr>
          <w:t xml:space="preserve">UVU</w:t>
        </w:r>
      </w:hyperlink>
      <w:r w:rsidDel="00000000" w:rsidR="00000000" w:rsidRPr="00000000">
        <w:rPr>
          <w:rFonts w:ascii="Cambria" w:cs="Cambria" w:eastAsia="Cambria" w:hAnsi="Cambria"/>
          <w:rtl w:val="0"/>
        </w:rPr>
        <w:t xml:space="preserve"> to…</w:t>
      </w:r>
    </w:p>
    <w:p w:rsidR="00000000" w:rsidDel="00000000" w:rsidP="00000000" w:rsidRDefault="00000000" w:rsidRPr="00000000">
      <w:pPr>
        <w:contextualSpacing w:val="0"/>
      </w:pPr>
      <w:hyperlink r:id="rId15">
        <w:r w:rsidDel="00000000" w:rsidR="00000000" w:rsidRPr="00000000">
          <w:rPr>
            <w:rFonts w:ascii="Cambria" w:cs="Cambria" w:eastAsia="Cambria" w:hAnsi="Cambria"/>
            <w:color w:val="1155cc"/>
            <w:u w:val="single"/>
            <w:rtl w:val="0"/>
          </w:rPr>
          <w:t xml:space="preserve">BYU-Provo</w:t>
        </w:r>
      </w:hyperlink>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rFonts w:ascii="Cambria" w:cs="Cambria" w:eastAsia="Cambria" w:hAnsi="Cambria"/>
            <w:color w:val="1155cc"/>
            <w:u w:val="single"/>
            <w:rtl w:val="0"/>
          </w:rPr>
          <w:t xml:space="preserve">University of Utah</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szCs w:val="24"/>
          <w:rtl w:val="0"/>
        </w:rPr>
        <w:t xml:space="preserve">AP Courses</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Art History*</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Art*</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Biology</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Calculus AB</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Calculus BC</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Chemistry*</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Environmental Science</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Geography</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Language/Literature</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Latin*</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Music Theory*</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Physics</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Psychology</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Statistics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szCs w:val="24"/>
          <w:rtl w:val="0"/>
        </w:rPr>
        <w:t xml:space="preserve">CE Courses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Business Management</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Business Management</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Chemistry</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English 1010*</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Financial Literacy</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Health</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Intro to Music</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Math 1050/60</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Political Science</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Spanish 1020</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Spanish 2010</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US History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vu.edu/transfer/students/apcredit.html" TargetMode="External"/><Relationship Id="rId10" Type="http://schemas.openxmlformats.org/officeDocument/2006/relationships/hyperlink" Target="http://catalog.usu.edu/content.php?catoid=3&amp;navoid=391" TargetMode="External"/><Relationship Id="rId13" Type="http://schemas.openxmlformats.org/officeDocument/2006/relationships/hyperlink" Target="http://www.uvu.edu/concurrent/" TargetMode="External"/><Relationship Id="rId12" Type="http://schemas.openxmlformats.org/officeDocument/2006/relationships/hyperlink" Target="http://www.weber.edu/admissions/aptests.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dmissions.utah.edu/apply/special-credit/advanced-placement-credit.php" TargetMode="External"/><Relationship Id="rId15" Type="http://schemas.openxmlformats.org/officeDocument/2006/relationships/hyperlink" Target="http://registrar.byu.edu/registrar/transferEvaluation/agreements/Updated%20GE%20Transfer%20Guides/Utah%20Valley%20University%20Full.php" TargetMode="External"/><Relationship Id="rId14" Type="http://schemas.openxmlformats.org/officeDocument/2006/relationships/hyperlink" Target="https://www.uvu.edu/transfer/students/outgoing.html" TargetMode="External"/><Relationship Id="rId16" Type="http://schemas.openxmlformats.org/officeDocument/2006/relationships/hyperlink" Target="http://admissions.utah.edu/apply/undergraduate/transfer/transfer-guide.php" TargetMode="External"/><Relationship Id="rId5" Type="http://schemas.openxmlformats.org/officeDocument/2006/relationships/hyperlink" Target="https://apstudent.collegeboard.org/home" TargetMode="External"/><Relationship Id="rId6" Type="http://schemas.openxmlformats.org/officeDocument/2006/relationships/hyperlink" Target="https://admissions.byu.edu/apib-guides" TargetMode="External"/><Relationship Id="rId7" Type="http://schemas.openxmlformats.org/officeDocument/2006/relationships/hyperlink" Target="http://www.byui.edu/admissions/what-type-of-applicant-am-i/new-freshman/step-1-review-admission-requirements/ap-and-ib-credits" TargetMode="External"/><Relationship Id="rId8" Type="http://schemas.openxmlformats.org/officeDocument/2006/relationships/hyperlink" Target="https://www.suu.edu/registrar/apcredit.html" TargetMode="External"/></Relationships>
</file>